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Сурдология-оториноларингология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Сурдология-оториноларингология | Записей: 1 | Кейс: 2 | Вопросов: 12</w:t>
      </w:r>
    </w:p>
    <w:p>
      <w:r>
        <w:br w:type="page"/>
      </w:r>
    </w:p>
    <w:p>
      <w:pPr>
        <w:pStyle w:val="Heading1"/>
      </w:pPr>
      <w:r>
        <w:t>Сурдология-оториноларингология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47 лет обратился на прием к врачу-сурдологу-оториноларингологу в сурдологический кабинет города 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слуха на оба уха.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пациента, переболел гриппом около 6 месяцев назад, после чего стал отмечать снижение слуха на оба уха.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Наличие хронических заболеваний лор-органов отрицает.</w:t>
      </w:r>
    </w:p>
    <w:p>
      <w:pPr>
        <w:spacing w:after="58"/>
      </w:pPr>
      <w:r>
        <w:rPr>
          <w:b w:val="0"/>
          <w:i w:val="0"/>
        </w:rPr>
        <w:t>* Наследственный анамнез - снижение слуха у родственников отрицает.</w:t>
      </w:r>
    </w:p>
    <w:p>
      <w:pPr>
        <w:spacing w:after="58"/>
      </w:pPr>
      <w:r>
        <w:rPr>
          <w:b w:val="0"/>
          <w:i w:val="0"/>
        </w:rPr>
        <w:t>* Аллергологический анамнез – аллергию на лекарственные средства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82 кг, рост 180 см. Температура тела 36,5°С. Кожные покровы бледно-розовые, влажные. АД 125/85 мм рт. ст.</w:t>
      </w:r>
    </w:p>
    <w:p>
      <w:pPr>
        <w:spacing w:after="58"/>
      </w:pPr>
      <w:r>
        <w:rPr>
          <w:b w:val="0"/>
          <w:i w:val="0"/>
        </w:rPr>
        <w:t>При осмотре полости носа – носовая перегородка по средней линии; нижние носовые раковины розовые, влажные, не увеличены; отделяемого в носовых ходах нет.</w:t>
      </w:r>
    </w:p>
    <w:p>
      <w:pPr>
        <w:spacing w:after="58"/>
      </w:pPr>
      <w:r>
        <w:rPr>
          <w:b w:val="0"/>
          <w:i w:val="0"/>
        </w:rPr>
        <w:t>При осмотре глотки и гортани патологии не выявлено.</w:t>
      </w:r>
    </w:p>
    <w:p>
      <w:pPr>
        <w:spacing w:after="58"/>
      </w:pPr>
      <w:r>
        <w:rPr>
          <w:b w:val="0"/>
          <w:i w:val="0"/>
        </w:rPr>
        <w:t>При отомикроскопии AD - наружный слуховой проход широкий, свободный, барабанная перепонка серая, опознавательные знаки сохранены.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AS – наружный слуховой проход широкий, свободный, барабанная перепонка – серая, опознавательные знаки сохранены.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Камертональные пробы - опыт Вебера латерализации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 целью уточнения диагноза данному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бактериологического исследования отделяемого из наружных слуховых проходов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эндоскопической фаринголарингоскопии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аудиометрии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эндоскопии носоглотки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аудиометрии</w:t>
      </w:r>
    </w:p>
    <w:p>
      <w:pPr>
        <w:ind w:left="504"/>
      </w:pPr>
      <w:r>
        <w:rPr>
          <w:b w:val="0"/>
          <w:i/>
        </w:rPr>
        <w:t>Рекомендовано проведение речевой аудиометрии в тишине и при наличии маскировочного шума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 целью уточнения диагноза данному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импедансометрии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КТ органов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околоносовых пазух с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мягких тканей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импедансометрии</w:t>
      </w:r>
    </w:p>
    <w:p>
      <w:pPr>
        <w:ind w:left="504"/>
      </w:pPr>
      <w:r>
        <w:rPr>
          <w:b w:val="0"/>
          <w:i/>
        </w:rPr>
        <w:t>Рекомендовано проведение импедансометрия (тимпанометрия и акустическая рефлексометрия) для исключения патологии среднего уха, а также для дифференциации с кондуктивной тугоухостью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жалоб, данных анамнеза, клинического осмотра и инструментальных методов обследования данному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Возрастная норма слуха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Двусторонняя глухота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Двусторонняя кондуктивная тугоухость II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Двусторонняя сенсоневральная тугоухость II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Двусторонняя сенсоневральная тугоухость II степени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Наличие характерных жалоб на снижение слуха на оба уха.</w:t>
        <w:br/>
        <w:br/>
        <w:t>* Данные отоскопии: барабанная перепонка серая, опознавательные знаки сохранены.</w:t>
        <w:br/>
        <w:br/>
        <w:t>* Данные обследования: двусторонняя сенсоневральная тугоухость II степени, тимпанограмма типа «А»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Данному пациенту показано проведение лечения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срочно, с соблюдением домашнего режима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планово, возможно в амбулаторных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стационаре, в экстренном порядке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планово, с соблюдением домашнего режима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планово, возможно в амбулаторных условиях</w:t>
      </w:r>
    </w:p>
    <w:p>
      <w:pPr>
        <w:ind w:left="504"/>
      </w:pPr>
      <w:r>
        <w:rPr>
          <w:b w:val="0"/>
          <w:i/>
        </w:rPr>
        <w:t>Рекомендовано лечение фоновых соматических заболеваний и проведение курсов поддерживающей терапии по индивидуальным показаниям 1-2 раза в год с использованием таблетированных препаратов, улучшающих мозговой и лабиринтный кровоток, а также процессы тканевого и клеточного метаболизма.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Данному пациенту целесообразно назначение препаратов,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повышающих иммунитет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восстанавливающих нервные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улучшающих мозговой и лабиринтный кровоток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улучшающих нейромышечную проводимость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улучшающих мозговой и лабиринтный кровоток</w:t>
      </w:r>
    </w:p>
    <w:p>
      <w:pPr>
        <w:ind w:left="504"/>
      </w:pPr>
      <w:r>
        <w:rPr>
          <w:b w:val="0"/>
          <w:i/>
        </w:rPr>
        <w:t>Рекомендовано лечение фоновых соматических заболеваний и проведение курсов поддерживающей терапии по индивидуальным показаниям 1-2 раза в год с использованием таблетированных препаратов, улучшающих мозговой и лабиринтный кровоток, а также процессы тканевого и клеточного метаболизма.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 данного пациента возможность восстановления порогов слышимости медикаментозным лечением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существует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незначительна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стопроцентная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незначительна</w:t>
      </w:r>
    </w:p>
    <w:p>
      <w:pPr>
        <w:ind w:left="504"/>
      </w:pPr>
      <w:r>
        <w:rPr>
          <w:b w:val="0"/>
          <w:i/>
        </w:rPr>
        <w:t>При хронической сенсоневральной тугоухости с точки зрения доказательной медицины возможность повысить пороги слышимости медикаментозным лечением крайне незначительна.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Тугоухость у данного пациента следует расценивать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стойкую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прогрессирующую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подострую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хроническую</w:t>
      </w:r>
    </w:p>
    <w:p>
      <w:pPr>
        <w:ind w:left="504"/>
      </w:pPr>
      <w:r>
        <w:rPr>
          <w:b w:val="0"/>
          <w:i/>
        </w:rPr>
        <w:t>Приобретенная СНТ подразделяется на: хроническую (снижение слуха сохраняется более 3 месяцев и может быть стабильным, прогрессирующим и флюктуирующим)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Помимо медикаментозного лечения,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слухопротезирования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отопластики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стапедопластики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кохлеарной имплантации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слухопротезирования</w:t>
      </w:r>
    </w:p>
    <w:p>
      <w:pPr>
        <w:ind w:left="504"/>
      </w:pPr>
      <w:r>
        <w:rPr>
          <w:b w:val="0"/>
          <w:i/>
        </w:rPr>
        <w:t>Слухопротезирование аппаратами воздушного проведения – показано при средних порогах слуха в зоне речевых частот (500, 1000, 2000 и 4000 кГц) на лучше слышащем ухе ≥31 дБ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оценки эффективности слухопротезирования следует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МРТ головы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речевую аудиометрию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рентгенографию височных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КТ височных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речевую аудиометрию</w:t>
      </w:r>
    </w:p>
    <w:p>
      <w:pPr>
        <w:ind w:left="504"/>
      </w:pPr>
      <w:r>
        <w:rPr>
          <w:b w:val="0"/>
          <w:i/>
        </w:rPr>
        <w:t>Речевая аудиометрия в свободном звуковом поле в тишине и на фоне помех.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дальнейшем режим наблюдения включает проведение повторной аудиометрии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месяц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2 года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1-2 раза в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3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 раза в год</w:t>
      </w:r>
    </w:p>
    <w:p>
      <w:pPr>
        <w:ind w:left="504"/>
      </w:pPr>
      <w:r>
        <w:rPr>
          <w:b w:val="0"/>
          <w:i/>
        </w:rPr>
        <w:t>Повторные аудиологические исследования и наблюдение включает:</w:t>
        <w:br/>
        <w:br/>
        <w:t>* Тональная пороговая аудиометрия – 1-2 раза в год.</w:t>
        <w:br/>
        <w:br/>
        <w:t>* Речевая аудиометрия в тишине и на фоне помех – 1-2 раза в год.</w:t>
        <w:br/>
        <w:br/>
        <w:t>* Коррекция амплитудно-частотных характеристик усиления слухового аппарата (по результатам аудиологического обследования) – 1-2 раза в год.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Целью медикаментозного лечения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улучшение слуха хотя бы на одно ухо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предупреждение прогрессирования тугоухости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восстановление слуха до нормы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повышение иммунитета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предупреждение прогрессирования тугоухости</w:t>
      </w:r>
    </w:p>
    <w:p>
      <w:pPr>
        <w:ind w:left="504"/>
      </w:pPr>
      <w:r>
        <w:rPr>
          <w:b w:val="0"/>
          <w:i/>
        </w:rPr>
        <w:t>И если при острой сенсоневральной тугоухости существует вероятность восстановить слух лечебным воздействием, то при хронической сенсоневральной тугоухости с точки зрения доказательной медицины возможность повысить пороги слышимости медикаментозным лечением крайне незначительна.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Помимо врача-оториноларинголога, больного обязательно должен проконсультировать врач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невролог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пульмонолог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ревматолог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стоматолог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</w:t>
      </w:r>
    </w:p>
    <w:p>
      <w:pPr>
        <w:ind w:left="504"/>
      </w:pPr>
      <w:r>
        <w:rPr>
          <w:b w:val="0"/>
          <w:i/>
        </w:rPr>
        <w:t>Консультации врача-терапевта и врача-невролога.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518_23/" TargetMode="External"/><Relationship Id="rId10" Type="http://schemas.openxmlformats.org/officeDocument/2006/relationships/hyperlink" Target="https://library.mededtech.ru/rest/documents/KP518_23/#list_item_38iq90" TargetMode="External"/><Relationship Id="rId11" Type="http://schemas.openxmlformats.org/officeDocument/2006/relationships/hyperlink" Target="https://library.mededtech.ru/rest/documents/KP518_23/#list_item_sg38q6" TargetMode="External"/><Relationship Id="rId12" Type="http://schemas.openxmlformats.org/officeDocument/2006/relationships/hyperlink" Target="https://library.mededtech.ru/rest/documents/KP518_23/#paragraph_fuv5ni" TargetMode="External"/><Relationship Id="rId13" Type="http://schemas.openxmlformats.org/officeDocument/2006/relationships/hyperlink" Target="https://library.mededtech.ru/rest/documents/KP518_23/#paragraph_k6f6n2" TargetMode="External"/><Relationship Id="rId14" Type="http://schemas.openxmlformats.org/officeDocument/2006/relationships/hyperlink" Target="https://library.mededtech.ru/rest/documents/KP518_23/#paragraph_0oobq9" TargetMode="External"/><Relationship Id="rId15" Type="http://schemas.openxmlformats.org/officeDocument/2006/relationships/hyperlink" Target="https://library.mededtech.ru/rest/documents/KP518_23/#list_item_42ah7m" TargetMode="External"/><Relationship Id="rId16" Type="http://schemas.openxmlformats.org/officeDocument/2006/relationships/hyperlink" Target="https://library.mededtech.ru/rest/documents/KP518_23/#paragraph_0k49qh" TargetMode="External"/><Relationship Id="rId17" Type="http://schemas.openxmlformats.org/officeDocument/2006/relationships/hyperlink" Target="https://library.mededtech.ru/rest/documents/KP518_23/#list_item_2e1dkh" TargetMode="External"/><Relationship Id="rId18" Type="http://schemas.openxmlformats.org/officeDocument/2006/relationships/hyperlink" Target="https://library.mededtech.ru/rest/documents/KP518_23/#list_item_9h47jm" TargetMode="External"/><Relationship Id="rId19" Type="http://schemas.openxmlformats.org/officeDocument/2006/relationships/hyperlink" Target="https://library.mededtech.ru/rest/documents/KP518_23/#list_item_9vmup2" TargetMode="External"/><Relationship Id="rId20" Type="http://schemas.openxmlformats.org/officeDocument/2006/relationships/hyperlink" Target="https://library.mededtech.ru/rest/documents/KP518_23/#paragraph_uj2ci2" TargetMode="External"/><Relationship Id="rId21" Type="http://schemas.openxmlformats.org/officeDocument/2006/relationships/hyperlink" Target="https://library.mededtech.ru/rest/documents/KP518_23/#list_item_00o7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